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560" w:lineRule="atLeast"/>
        <w:jc w:val="distribute"/>
        <w:rPr>
          <w:rFonts w:ascii="仿宋" w:hAnsi="仿宋" w:eastAsia="仿宋"/>
          <w:sz w:val="32"/>
          <w:szCs w:val="32"/>
        </w:rPr>
      </w:pPr>
      <w:r>
        <w:rPr>
          <w:rFonts w:hint="eastAsia" w:ascii="方正小标宋简体" w:hAnsi="方正小标宋简体" w:eastAsia="方正小标宋简体"/>
          <w:color w:val="FF0000"/>
          <w:sz w:val="68"/>
          <w:szCs w:val="68"/>
        </w:rPr>
        <w:t>广州知识产权</w:t>
      </w:r>
      <w:r>
        <w:rPr>
          <w:rFonts w:hint="eastAsia" w:ascii="方正小标宋简体" w:hAnsi="方正小标宋简体" w:eastAsia="方正小标宋简体"/>
          <w:color w:val="FF0000"/>
          <w:sz w:val="68"/>
          <w:szCs w:val="68"/>
          <w:lang w:val="en-US" w:eastAsia="zh-CN"/>
        </w:rPr>
        <w:t>保护</w:t>
      </w:r>
      <w:r>
        <w:rPr>
          <w:rFonts w:hint="eastAsia" w:ascii="方正小标宋简体" w:hAnsi="方正小标宋简体" w:eastAsia="方正小标宋简体"/>
          <w:color w:val="FF0000"/>
          <w:sz w:val="68"/>
          <w:szCs w:val="68"/>
        </w:rPr>
        <w:t>中心</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heme="majorEastAsia" w:hAnsiTheme="majorEastAsia" w:eastAsiaTheme="majorEastAsia" w:cstheme="majorEastAsia"/>
          <w:b/>
          <w:bCs/>
          <w:sz w:val="44"/>
          <w:szCs w:val="44"/>
          <w:lang w:val="en-US" w:eastAsia="zh-CN"/>
        </w:rPr>
      </w:pPr>
      <w:r>
        <w:rPr>
          <w:rFonts w:ascii="方正小标宋简体" w:hAnsi="方正小标宋简体" w:eastAsia="方正小标宋简体"/>
          <w:color w:val="FF0000"/>
          <w:sz w:val="68"/>
          <w:szCs w:val="68"/>
        </w:rPr>
        <mc:AlternateContent>
          <mc:Choice Requires="wps">
            <w:drawing>
              <wp:anchor distT="0" distB="0" distL="114300" distR="114300" simplePos="0" relativeHeight="251659264" behindDoc="0" locked="0" layoutInCell="1" allowOverlap="1">
                <wp:simplePos x="0" y="0"/>
                <wp:positionH relativeFrom="column">
                  <wp:posOffset>-161290</wp:posOffset>
                </wp:positionH>
                <wp:positionV relativeFrom="paragraph">
                  <wp:posOffset>67310</wp:posOffset>
                </wp:positionV>
                <wp:extent cx="5886450" cy="0"/>
                <wp:effectExtent l="0" t="28575" r="0" b="28575"/>
                <wp:wrapNone/>
                <wp:docPr id="2" name="直接连接符 2"/>
                <wp:cNvGraphicFramePr/>
                <a:graphic xmlns:a="http://schemas.openxmlformats.org/drawingml/2006/main">
                  <a:graphicData uri="http://schemas.microsoft.com/office/word/2010/wordprocessingShape">
                    <wps:wsp>
                      <wps:cNvCnPr/>
                      <wps:spPr>
                        <a:xfrm>
                          <a:off x="0" y="0"/>
                          <a:ext cx="5886450" cy="0"/>
                        </a:xfrm>
                        <a:prstGeom prst="line">
                          <a:avLst/>
                        </a:prstGeom>
                        <a:ln w="57150" cap="flat" cmpd="thickThin">
                          <a:solidFill>
                            <a:srgbClr val="FF0000"/>
                          </a:solidFill>
                          <a:prstDash val="solid"/>
                          <a:headEnd type="none" w="med" len="med"/>
                          <a:tailEnd type="none" w="med" len="med"/>
                        </a:ln>
                        <a:effectLst/>
                      </wps:spPr>
                      <wps:bodyPr upright="1"/>
                    </wps:wsp>
                  </a:graphicData>
                </a:graphic>
              </wp:anchor>
            </w:drawing>
          </mc:Choice>
          <mc:Fallback>
            <w:pict>
              <v:line id="_x0000_s1026" o:spid="_x0000_s1026" o:spt="20" style="position:absolute;left:0pt;margin-left:-12.7pt;margin-top:5.3pt;height:0pt;width:463.5pt;z-index:251659264;mso-width-relative:page;mso-height-relative:page;" filled="f" stroked="t" coordsize="21600,21600" o:gfxdata="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40K8OtQAAAAJAQAADwAAAAAAAAABACAAAAAiAAAAZHJzL2Rvd25yZXYu&#10;eG1sUEsBAhQAFAAAAAgAh07iQHik1LL/AQAA+QMAAA4AAAAAAAAAAQAgAAAAIwEAAGRycy9lMm9E&#10;b2MueG1sUEsFBgAAAAAGAAYAWQEAAJQFAAAAAA==&#10;">
                <v:fill on="f" focussize="0,0"/>
                <v:stroke weight="4.5pt" color="#FF0000" linestyle="thickThin" joinstyle="round"/>
                <v:imagedata o:title=""/>
                <o:lock v:ext="edit" aspectratio="f"/>
              </v:line>
            </w:pict>
          </mc:Fallback>
        </mc:AlternateContent>
      </w:r>
      <w:r>
        <w:rPr>
          <w:rFonts w:hint="eastAsia" w:asciiTheme="majorEastAsia" w:hAnsiTheme="majorEastAsia" w:eastAsiaTheme="majorEastAsia" w:cstheme="majorEastAsia"/>
          <w:b/>
          <w:bCs/>
          <w:sz w:val="44"/>
          <w:szCs w:val="4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heme="majorEastAsia" w:hAnsiTheme="majorEastAsia" w:eastAsiaTheme="majorEastAsia" w:cstheme="majorEastAsia"/>
          <w:b/>
          <w:bCs/>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_GBK" w:hAnsi="方正小标宋_GBK" w:eastAsia="方正小标宋_GBK" w:cs="方正小标宋_GBK"/>
          <w:sz w:val="44"/>
          <w:szCs w:val="44"/>
        </w:rPr>
      </w:pPr>
      <w:r>
        <w:rPr>
          <w:rFonts w:hint="eastAsia" w:asciiTheme="majorEastAsia" w:hAnsiTheme="majorEastAsia" w:eastAsiaTheme="majorEastAsia" w:cstheme="majorEastAsia"/>
          <w:b/>
          <w:bCs/>
          <w:sz w:val="44"/>
          <w:szCs w:val="44"/>
          <w:lang w:val="en-US" w:eastAsia="zh-CN"/>
        </w:rPr>
        <w:t xml:space="preserve"> </w:t>
      </w:r>
      <w:r>
        <w:rPr>
          <w:rFonts w:hint="eastAsia" w:ascii="方正小标宋_GBK" w:hAnsi="方正小标宋_GBK" w:eastAsia="方正小标宋_GBK" w:cs="方正小标宋_GBK"/>
          <w:sz w:val="44"/>
          <w:szCs w:val="44"/>
        </w:rPr>
        <w:t>中国（</w:t>
      </w:r>
      <w:r>
        <w:rPr>
          <w:rFonts w:hint="eastAsia" w:ascii="方正小标宋_GBK" w:hAnsi="方正小标宋_GBK" w:eastAsia="方正小标宋_GBK" w:cs="方正小标宋_GBK"/>
          <w:sz w:val="44"/>
          <w:szCs w:val="44"/>
          <w:lang w:eastAsia="zh-CN"/>
        </w:rPr>
        <w:t>广州</w:t>
      </w:r>
      <w:r>
        <w:rPr>
          <w:rFonts w:hint="eastAsia" w:ascii="方正小标宋_GBK" w:hAnsi="方正小标宋_GBK" w:eastAsia="方正小标宋_GBK" w:cs="方正小标宋_GBK"/>
          <w:sz w:val="44"/>
          <w:szCs w:val="44"/>
        </w:rPr>
        <w:t>）知识产权保护中心关于开展专利快速预审服务申请主体、专利代理机构</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_GBK" w:hAnsi="方正小标宋_GBK" w:eastAsia="方正小标宋_GBK" w:cs="方正小标宋_GBK"/>
          <w:sz w:val="44"/>
          <w:szCs w:val="44"/>
        </w:rPr>
      </w:pPr>
      <w:r>
        <w:rPr>
          <w:rFonts w:hint="eastAsia" w:ascii="方正小标宋_GBK" w:hAnsi="方正小标宋_GBK" w:eastAsia="方正小标宋_GBK" w:cs="方正小标宋_GBK"/>
          <w:sz w:val="44"/>
          <w:szCs w:val="44"/>
        </w:rPr>
        <w:t>备案工作的通知</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_GBK" w:hAnsi="方正小标宋_GBK" w:eastAsia="方正小标宋_GBK" w:cs="方正小标宋_GBK"/>
          <w:sz w:val="44"/>
          <w:szCs w:val="44"/>
        </w:rPr>
      </w:pP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各相关单位：</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根据国家知识产权局的批复，中国（</w:t>
      </w:r>
      <w:r>
        <w:rPr>
          <w:rFonts w:hint="eastAsia" w:ascii="仿宋_GB2312" w:hAnsi="仿宋_GB2312" w:eastAsia="仿宋_GB2312" w:cs="仿宋_GB2312"/>
          <w:sz w:val="32"/>
          <w:szCs w:val="32"/>
          <w:lang w:val="en-US" w:eastAsia="zh-CN"/>
        </w:rPr>
        <w:t>广州</w:t>
      </w:r>
      <w:r>
        <w:rPr>
          <w:rFonts w:hint="eastAsia" w:ascii="仿宋_GB2312" w:hAnsi="仿宋_GB2312" w:eastAsia="仿宋_GB2312" w:cs="仿宋_GB2312"/>
          <w:sz w:val="32"/>
          <w:szCs w:val="32"/>
        </w:rPr>
        <w:t>）知识产权保护中心（以下简称“</w:t>
      </w:r>
      <w:r>
        <w:rPr>
          <w:rFonts w:hint="eastAsia" w:ascii="仿宋_GB2312" w:hAnsi="仿宋_GB2312" w:eastAsia="仿宋_GB2312" w:cs="仿宋_GB2312"/>
          <w:sz w:val="32"/>
          <w:szCs w:val="32"/>
          <w:lang w:eastAsia="zh-CN"/>
        </w:rPr>
        <w:t>广州</w:t>
      </w:r>
      <w:r>
        <w:rPr>
          <w:rFonts w:hint="eastAsia" w:ascii="仿宋_GB2312" w:hAnsi="仿宋_GB2312" w:eastAsia="仿宋_GB2312" w:cs="仿宋_GB2312"/>
          <w:sz w:val="32"/>
          <w:szCs w:val="32"/>
        </w:rPr>
        <w:t>保护中心”）将面向全市高端装备制造</w:t>
      </w:r>
      <w:r>
        <w:rPr>
          <w:rFonts w:hint="eastAsia" w:ascii="仿宋_GB2312" w:hAnsi="仿宋" w:eastAsia="仿宋_GB2312" w:cs="仿宋_GB2312"/>
          <w:sz w:val="32"/>
          <w:szCs w:val="32"/>
          <w:lang w:val="en-US" w:eastAsia="zh-CN"/>
        </w:rPr>
        <w:t>（人工智能、新能源汽车、高技术船舶与海洋工程装备）产业</w:t>
      </w:r>
      <w:r>
        <w:rPr>
          <w:rFonts w:hint="eastAsia" w:ascii="仿宋_GB2312" w:hAnsi="仿宋_GB2312" w:eastAsia="仿宋_GB2312" w:cs="仿宋_GB2312"/>
          <w:sz w:val="32"/>
          <w:szCs w:val="32"/>
        </w:rPr>
        <w:t>和</w:t>
      </w:r>
      <w:r>
        <w:rPr>
          <w:rFonts w:hint="eastAsia" w:ascii="仿宋_GB2312" w:hAnsi="仿宋_GB2312" w:eastAsia="仿宋_GB2312" w:cs="仿宋_GB2312"/>
          <w:sz w:val="32"/>
          <w:szCs w:val="32"/>
          <w:lang w:val="en-US" w:eastAsia="zh-CN"/>
        </w:rPr>
        <w:t>新材料</w:t>
      </w:r>
      <w:r>
        <w:rPr>
          <w:rFonts w:hint="eastAsia" w:ascii="仿宋_GB2312" w:hAnsi="仿宋_GB2312" w:eastAsia="仿宋_GB2312" w:cs="仿宋_GB2312"/>
          <w:sz w:val="32"/>
          <w:szCs w:val="32"/>
        </w:rPr>
        <w:t>产业开展快速协同保护工作。为全面做好专利申请、专利复审、无效请求以及专利权评价报告的快速预审服务等相关工作，同时为更好地推进专利申请预审工作，提升专利申请预审效能，服务创新主体，</w:t>
      </w:r>
      <w:r>
        <w:rPr>
          <w:rFonts w:hint="eastAsia" w:ascii="仿宋_GB2312" w:hAnsi="仿宋_GB2312" w:eastAsia="仿宋_GB2312" w:cs="仿宋_GB2312"/>
          <w:sz w:val="32"/>
          <w:szCs w:val="32"/>
          <w:lang w:eastAsia="zh-CN"/>
        </w:rPr>
        <w:t>广州</w:t>
      </w:r>
      <w:r>
        <w:rPr>
          <w:rFonts w:hint="eastAsia" w:ascii="仿宋_GB2312" w:hAnsi="仿宋_GB2312" w:eastAsia="仿宋_GB2312" w:cs="仿宋_GB2312"/>
          <w:sz w:val="32"/>
          <w:szCs w:val="32"/>
        </w:rPr>
        <w:t>保护中心拟开展专利快速预审服务申请主体备案工作以及专利代理机构注册工作。现将有关事项通知如下：</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黑体" w:hAnsi="黑体" w:eastAsia="黑体" w:cs="黑体"/>
          <w:sz w:val="32"/>
          <w:szCs w:val="32"/>
        </w:rPr>
      </w:pPr>
      <w:r>
        <w:rPr>
          <w:rFonts w:hint="eastAsia" w:ascii="仿宋_GB2312" w:hAnsi="仿宋_GB2312" w:eastAsia="仿宋_GB2312" w:cs="仿宋_GB2312"/>
          <w:sz w:val="32"/>
          <w:szCs w:val="32"/>
        </w:rPr>
        <w:t>　　</w:t>
      </w:r>
      <w:r>
        <w:rPr>
          <w:rFonts w:hint="eastAsia" w:ascii="黑体" w:hAnsi="黑体" w:eastAsia="黑体" w:cs="黑体"/>
          <w:sz w:val="32"/>
          <w:szCs w:val="32"/>
        </w:rPr>
        <w:t>一、备案申请时间</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202</w:t>
      </w:r>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rPr>
        <w:t>年</w:t>
      </w:r>
      <w:r>
        <w:rPr>
          <w:rFonts w:hint="eastAsia" w:ascii="仿宋_GB2312" w:hAnsi="仿宋_GB2312" w:eastAsia="仿宋_GB2312" w:cs="仿宋_GB2312"/>
          <w:sz w:val="32"/>
          <w:szCs w:val="32"/>
          <w:lang w:val="en-US" w:eastAsia="zh-CN"/>
        </w:rPr>
        <w:t>5</w:t>
      </w:r>
      <w:r>
        <w:rPr>
          <w:rFonts w:hint="eastAsia" w:ascii="仿宋_GB2312" w:hAnsi="仿宋_GB2312" w:eastAsia="仿宋_GB2312" w:cs="仿宋_GB2312"/>
          <w:sz w:val="32"/>
          <w:szCs w:val="32"/>
        </w:rPr>
        <w:t>月</w:t>
      </w:r>
      <w:r>
        <w:rPr>
          <w:rFonts w:hint="eastAsia" w:ascii="仿宋_GB2312" w:hAnsi="仿宋_GB2312" w:eastAsia="仿宋_GB2312" w:cs="仿宋_GB2312"/>
          <w:sz w:val="32"/>
          <w:szCs w:val="32"/>
          <w:lang w:val="en-US" w:eastAsia="zh-CN"/>
        </w:rPr>
        <w:t>17</w:t>
      </w:r>
      <w:r>
        <w:rPr>
          <w:rFonts w:hint="eastAsia" w:ascii="仿宋_GB2312" w:hAnsi="仿宋_GB2312" w:eastAsia="仿宋_GB2312" w:cs="仿宋_GB2312"/>
          <w:sz w:val="32"/>
          <w:szCs w:val="32"/>
        </w:rPr>
        <w:t>日-202</w:t>
      </w:r>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rPr>
        <w:t>年</w:t>
      </w:r>
      <w:r>
        <w:rPr>
          <w:rFonts w:hint="eastAsia" w:ascii="仿宋_GB2312" w:hAnsi="仿宋_GB2312" w:eastAsia="仿宋_GB2312" w:cs="仿宋_GB2312"/>
          <w:sz w:val="32"/>
          <w:szCs w:val="32"/>
          <w:lang w:val="en-US" w:eastAsia="zh-CN"/>
        </w:rPr>
        <w:t>6</w:t>
      </w:r>
      <w:r>
        <w:rPr>
          <w:rFonts w:hint="eastAsia" w:ascii="仿宋_GB2312" w:hAnsi="仿宋_GB2312" w:eastAsia="仿宋_GB2312" w:cs="仿宋_GB2312"/>
          <w:sz w:val="32"/>
          <w:szCs w:val="32"/>
        </w:rPr>
        <w:t>月</w:t>
      </w:r>
      <w:r>
        <w:rPr>
          <w:rFonts w:hint="eastAsia" w:ascii="仿宋_GB2312" w:hAnsi="仿宋_GB2312" w:eastAsia="仿宋_GB2312" w:cs="仿宋_GB2312"/>
          <w:sz w:val="32"/>
          <w:szCs w:val="32"/>
          <w:lang w:val="en-US" w:eastAsia="zh-CN"/>
        </w:rPr>
        <w:t>5</w:t>
      </w:r>
      <w:r>
        <w:rPr>
          <w:rFonts w:hint="eastAsia" w:ascii="仿宋_GB2312" w:hAnsi="仿宋_GB2312" w:eastAsia="仿宋_GB2312" w:cs="仿宋_GB2312"/>
          <w:sz w:val="32"/>
          <w:szCs w:val="32"/>
        </w:rPr>
        <w:t>日</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w:t>
      </w:r>
      <w:r>
        <w:rPr>
          <w:rFonts w:hint="eastAsia" w:ascii="黑体" w:hAnsi="黑体" w:eastAsia="黑体" w:cs="黑体"/>
          <w:sz w:val="32"/>
          <w:szCs w:val="32"/>
        </w:rPr>
        <w:t>　二、备案申请条件</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w:t>
      </w:r>
      <w:r>
        <w:rPr>
          <w:rFonts w:hint="eastAsia" w:ascii="楷体" w:hAnsi="楷体" w:eastAsia="楷体" w:cs="楷体"/>
          <w:sz w:val="32"/>
          <w:szCs w:val="32"/>
        </w:rPr>
        <w:t>（一）申请备案主体应满足以下条件：</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1.注册或登记地在</w:t>
      </w:r>
      <w:r>
        <w:rPr>
          <w:rFonts w:hint="eastAsia" w:ascii="仿宋_GB2312" w:hAnsi="仿宋_GB2312" w:eastAsia="仿宋_GB2312" w:cs="仿宋_GB2312"/>
          <w:sz w:val="32"/>
          <w:szCs w:val="32"/>
          <w:lang w:eastAsia="zh-CN"/>
        </w:rPr>
        <w:t>广州</w:t>
      </w:r>
      <w:r>
        <w:rPr>
          <w:rFonts w:hint="eastAsia" w:ascii="仿宋_GB2312" w:hAnsi="仿宋_GB2312" w:eastAsia="仿宋_GB2312" w:cs="仿宋_GB2312"/>
          <w:sz w:val="32"/>
          <w:szCs w:val="32"/>
        </w:rPr>
        <w:t>市行政区域内，且具有独立法人资格的企事业单位、科研院所及高校；</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2.生产、研发或经营方向应涉及高端装备制造</w:t>
      </w:r>
      <w:r>
        <w:rPr>
          <w:rFonts w:hint="eastAsia" w:ascii="仿宋_GB2312" w:hAnsi="仿宋" w:eastAsia="仿宋_GB2312" w:cs="仿宋_GB2312"/>
          <w:sz w:val="32"/>
          <w:szCs w:val="32"/>
          <w:lang w:val="en-US" w:eastAsia="zh-CN"/>
        </w:rPr>
        <w:t>（人工智能、新能源汽车、高技术船舶与海洋工程装备）产业</w:t>
      </w:r>
      <w:r>
        <w:rPr>
          <w:rFonts w:hint="eastAsia" w:ascii="仿宋_GB2312" w:hAnsi="仿宋_GB2312" w:eastAsia="仿宋_GB2312" w:cs="仿宋_GB2312"/>
          <w:sz w:val="32"/>
          <w:szCs w:val="32"/>
        </w:rPr>
        <w:t>和</w:t>
      </w:r>
      <w:r>
        <w:rPr>
          <w:rFonts w:hint="eastAsia" w:ascii="仿宋_GB2312" w:hAnsi="仿宋_GB2312" w:eastAsia="仿宋_GB2312" w:cs="仿宋_GB2312"/>
          <w:sz w:val="32"/>
          <w:szCs w:val="32"/>
          <w:lang w:val="en-US" w:eastAsia="zh-CN"/>
        </w:rPr>
        <w:t>新材料</w:t>
      </w:r>
      <w:r>
        <w:rPr>
          <w:rFonts w:hint="eastAsia" w:ascii="仿宋_GB2312" w:hAnsi="仿宋_GB2312" w:eastAsia="仿宋_GB2312" w:cs="仿宋_GB2312"/>
          <w:sz w:val="32"/>
          <w:szCs w:val="32"/>
        </w:rPr>
        <w:t>产业；</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3.申请备案的单位应具有较好的创新基础以及良好的知识产权工作基础，建立规范的知识产权管理制度，且有稳定的知识产权管理团队；</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4.无非正常专利申请、故意侵犯他人知识产权等不良记录。</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w:t>
      </w:r>
      <w:r>
        <w:rPr>
          <w:rFonts w:hint="eastAsia" w:ascii="楷体" w:hAnsi="楷体" w:eastAsia="楷体" w:cs="楷体"/>
          <w:sz w:val="32"/>
          <w:szCs w:val="32"/>
        </w:rPr>
        <w:t>　（二）注册代理机构应满足以下条件：</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1. 经国家知识产权局审批设立；</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2.在国家知识产权局“专利代理管理系统”中处于正常状态；</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3. 近一年内未因违反《专利代理条例》有关规定受到各级专利行政管理部门处理；</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4. 无代理非正常专利申请情况及其他不良记录。</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黑体" w:hAnsi="黑体" w:eastAsia="黑体" w:cs="黑体"/>
          <w:sz w:val="32"/>
          <w:szCs w:val="32"/>
        </w:rPr>
      </w:pPr>
      <w:r>
        <w:rPr>
          <w:rFonts w:hint="eastAsia" w:ascii="仿宋_GB2312" w:hAnsi="仿宋_GB2312" w:eastAsia="仿宋_GB2312" w:cs="仿宋_GB2312"/>
          <w:sz w:val="32"/>
          <w:szCs w:val="32"/>
        </w:rPr>
        <w:t>　</w:t>
      </w:r>
      <w:r>
        <w:rPr>
          <w:rFonts w:hint="eastAsia" w:ascii="黑体" w:hAnsi="黑体" w:eastAsia="黑体" w:cs="黑体"/>
          <w:sz w:val="32"/>
          <w:szCs w:val="32"/>
        </w:rPr>
        <w:t>　三、备案申请材料</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w:t>
      </w:r>
      <w:r>
        <w:rPr>
          <w:rFonts w:hint="eastAsia" w:ascii="楷体" w:hAnsi="楷体" w:eastAsia="楷体" w:cs="楷体"/>
          <w:sz w:val="32"/>
          <w:szCs w:val="32"/>
        </w:rPr>
        <w:t>（一）申请备案主体</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1.如实填写中国（</w:t>
      </w:r>
      <w:r>
        <w:rPr>
          <w:rFonts w:hint="eastAsia" w:ascii="仿宋_GB2312" w:hAnsi="仿宋_GB2312" w:eastAsia="仿宋_GB2312" w:cs="仿宋_GB2312"/>
          <w:sz w:val="32"/>
          <w:szCs w:val="32"/>
          <w:lang w:eastAsia="zh-CN"/>
        </w:rPr>
        <w:t>广州</w:t>
      </w:r>
      <w:r>
        <w:rPr>
          <w:rFonts w:hint="eastAsia" w:ascii="仿宋_GB2312" w:hAnsi="仿宋_GB2312" w:eastAsia="仿宋_GB2312" w:cs="仿宋_GB2312"/>
          <w:sz w:val="32"/>
          <w:szCs w:val="32"/>
        </w:rPr>
        <w:t>）知识产权保护中心快速预审服务备案主体申请表（见附件1），并加盖公章；</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2.企业营业执照复印件或事业法人证书复印件，并加盖公章。</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w:t>
      </w:r>
      <w:r>
        <w:rPr>
          <w:rFonts w:hint="eastAsia" w:ascii="楷体" w:hAnsi="楷体" w:eastAsia="楷体" w:cs="楷体"/>
          <w:sz w:val="32"/>
          <w:szCs w:val="32"/>
        </w:rPr>
        <w:t>（二）注册代理机构</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1.代理机构法定代表人身份证复印件（加盖公章）；</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2.代理机构营业执照复印件（加盖公章）或律师事务所执业许可证（加盖公章）。</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w:t>
      </w:r>
      <w:r>
        <w:rPr>
          <w:rFonts w:hint="eastAsia" w:ascii="黑体" w:hAnsi="黑体" w:eastAsia="黑体" w:cs="黑体"/>
          <w:sz w:val="32"/>
          <w:szCs w:val="32"/>
        </w:rPr>
        <w:t>四、备案申请方式</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w:t>
      </w:r>
      <w:r>
        <w:rPr>
          <w:rFonts w:hint="eastAsia" w:ascii="楷体" w:hAnsi="楷体" w:eastAsia="楷体" w:cs="楷体"/>
          <w:sz w:val="32"/>
          <w:szCs w:val="32"/>
        </w:rPr>
        <w:t>（一）申请备案主体</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1.符合条件的主体按照通知要求自愿申请，在预审管理平台预审案件提交系统(https://cnippc.cn/ippc-web-dzsq)中选择中国（</w:t>
      </w:r>
      <w:r>
        <w:rPr>
          <w:rFonts w:hint="eastAsia" w:ascii="仿宋_GB2312" w:hAnsi="仿宋_GB2312" w:eastAsia="仿宋_GB2312" w:cs="仿宋_GB2312"/>
          <w:sz w:val="32"/>
          <w:szCs w:val="32"/>
          <w:lang w:eastAsia="zh-CN"/>
        </w:rPr>
        <w:t>广州</w:t>
      </w:r>
      <w:r>
        <w:rPr>
          <w:rFonts w:hint="eastAsia" w:ascii="仿宋_GB2312" w:hAnsi="仿宋_GB2312" w:eastAsia="仿宋_GB2312" w:cs="仿宋_GB2312"/>
          <w:sz w:val="32"/>
          <w:szCs w:val="32"/>
        </w:rPr>
        <w:t>）知识产权保护中心完成用户注册（推荐使用Google Chrome、Mozilla Firefox、IE 11及以上版本，注册后登录系统在“下载中心”中下载查看使用手册、中国（</w:t>
      </w:r>
      <w:r>
        <w:rPr>
          <w:rFonts w:hint="eastAsia" w:ascii="仿宋_GB2312" w:hAnsi="仿宋_GB2312" w:eastAsia="仿宋_GB2312" w:cs="仿宋_GB2312"/>
          <w:sz w:val="32"/>
          <w:szCs w:val="32"/>
          <w:lang w:eastAsia="zh-CN"/>
        </w:rPr>
        <w:t>广州</w:t>
      </w:r>
      <w:r>
        <w:rPr>
          <w:rFonts w:hint="eastAsia" w:ascii="仿宋_GB2312" w:hAnsi="仿宋_GB2312" w:eastAsia="仿宋_GB2312" w:cs="仿宋_GB2312"/>
          <w:sz w:val="32"/>
          <w:szCs w:val="32"/>
        </w:rPr>
        <w:t>）知识产权保护中心快速预审服务备案主体申请表）；</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2.预审管理平台预审案件提交系统用户注册成功后，将收到短信提醒。登录系统，按照系统中流程进行备案申请，如实填写并提交相关资料；</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3.保护中心对备案申请材料进行初步审核，形成初审意见，并提交国家知识产权局；</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4.经国家知识产权局复核、确认后，完成备案申请；</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5.申请主体收到完成备案短信通知，可以在预审管理平台预审案件提交系统向</w:t>
      </w:r>
      <w:r>
        <w:rPr>
          <w:rFonts w:hint="eastAsia" w:ascii="仿宋_GB2312" w:hAnsi="仿宋_GB2312" w:eastAsia="仿宋_GB2312" w:cs="仿宋_GB2312"/>
          <w:sz w:val="32"/>
          <w:szCs w:val="32"/>
          <w:lang w:eastAsia="zh-CN"/>
        </w:rPr>
        <w:t>广州</w:t>
      </w:r>
      <w:r>
        <w:rPr>
          <w:rFonts w:hint="eastAsia" w:ascii="仿宋_GB2312" w:hAnsi="仿宋_GB2312" w:eastAsia="仿宋_GB2312" w:cs="仿宋_GB2312"/>
          <w:sz w:val="32"/>
          <w:szCs w:val="32"/>
        </w:rPr>
        <w:t>保护中心提交快速预审服务请求。</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w:t>
      </w:r>
      <w:r>
        <w:rPr>
          <w:rFonts w:hint="eastAsia" w:ascii="楷体" w:hAnsi="楷体" w:eastAsia="楷体" w:cs="楷体"/>
          <w:sz w:val="32"/>
          <w:szCs w:val="32"/>
        </w:rPr>
        <w:t>（二）注册代理机构</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1.符合条件的代理机构按照通知要求自愿申请，在预审管理平台预审案件提交系统(https://cnippc.cn/ippc-web-dzsq)中选择中国（</w:t>
      </w:r>
      <w:r>
        <w:rPr>
          <w:rFonts w:hint="eastAsia" w:ascii="仿宋_GB2312" w:hAnsi="仿宋_GB2312" w:eastAsia="仿宋_GB2312" w:cs="仿宋_GB2312"/>
          <w:sz w:val="32"/>
          <w:szCs w:val="32"/>
          <w:lang w:eastAsia="zh-CN"/>
        </w:rPr>
        <w:t>广州</w:t>
      </w:r>
      <w:r>
        <w:rPr>
          <w:rFonts w:hint="eastAsia" w:ascii="仿宋_GB2312" w:hAnsi="仿宋_GB2312" w:eastAsia="仿宋_GB2312" w:cs="仿宋_GB2312"/>
          <w:sz w:val="32"/>
          <w:szCs w:val="32"/>
        </w:rPr>
        <w:t>）知识产权保护中心完成用户注册（推荐使用Google Chrome、Mozilla Firefox、IE 11及以上版本，注册后登录系统在“下载中心”中下载查看使用手册），并提交相关资料；</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2.</w:t>
      </w:r>
      <w:r>
        <w:rPr>
          <w:rFonts w:hint="eastAsia" w:ascii="仿宋_GB2312" w:hAnsi="仿宋_GB2312" w:eastAsia="仿宋_GB2312" w:cs="仿宋_GB2312"/>
          <w:sz w:val="32"/>
          <w:szCs w:val="32"/>
          <w:lang w:eastAsia="zh-CN"/>
        </w:rPr>
        <w:t>广州</w:t>
      </w:r>
      <w:r>
        <w:rPr>
          <w:rFonts w:hint="eastAsia" w:ascii="仿宋_GB2312" w:hAnsi="仿宋_GB2312" w:eastAsia="仿宋_GB2312" w:cs="仿宋_GB2312"/>
          <w:sz w:val="32"/>
          <w:szCs w:val="32"/>
        </w:rPr>
        <w:t>保护中心对注册申请材料进行审核，确认后，完成注册；</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3.代理机构收到完成注册短信通知，可接受</w:t>
      </w:r>
      <w:r>
        <w:rPr>
          <w:rFonts w:hint="eastAsia" w:ascii="仿宋_GB2312" w:hAnsi="仿宋_GB2312" w:eastAsia="仿宋_GB2312" w:cs="仿宋_GB2312"/>
          <w:sz w:val="32"/>
          <w:szCs w:val="32"/>
          <w:lang w:eastAsia="zh-CN"/>
        </w:rPr>
        <w:t>广州</w:t>
      </w:r>
      <w:r>
        <w:rPr>
          <w:rFonts w:hint="eastAsia" w:ascii="仿宋_GB2312" w:hAnsi="仿宋_GB2312" w:eastAsia="仿宋_GB2312" w:cs="仿宋_GB2312"/>
          <w:sz w:val="32"/>
          <w:szCs w:val="32"/>
        </w:rPr>
        <w:t>保护中心预审备案企事业单位的专利申请预审委托。</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黑体" w:hAnsi="黑体" w:eastAsia="黑体" w:cs="黑体"/>
          <w:sz w:val="32"/>
          <w:szCs w:val="32"/>
        </w:rPr>
      </w:pPr>
      <w:r>
        <w:rPr>
          <w:rFonts w:hint="eastAsia" w:ascii="仿宋_GB2312" w:hAnsi="仿宋_GB2312" w:eastAsia="仿宋_GB2312" w:cs="仿宋_GB2312"/>
          <w:sz w:val="32"/>
          <w:szCs w:val="32"/>
        </w:rPr>
        <w:t>　　</w:t>
      </w:r>
      <w:r>
        <w:rPr>
          <w:rFonts w:hint="eastAsia" w:ascii="黑体" w:hAnsi="黑体" w:eastAsia="黑体" w:cs="黑体"/>
          <w:sz w:val="32"/>
          <w:szCs w:val="32"/>
        </w:rPr>
        <w:t>五、备案流程</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w:t>
      </w:r>
      <w:r>
        <w:rPr>
          <w:rFonts w:hint="eastAsia" w:ascii="楷体" w:hAnsi="楷体" w:eastAsia="楷体" w:cs="楷体"/>
          <w:sz w:val="32"/>
          <w:szCs w:val="32"/>
        </w:rPr>
        <w:t>（一）申请备案主体</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1.符合条件的企事业单位、科研院所及高校按照通知要求自愿申请，提交申请材料；</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2.</w:t>
      </w:r>
      <w:r>
        <w:rPr>
          <w:rFonts w:hint="eastAsia" w:ascii="仿宋_GB2312" w:hAnsi="仿宋_GB2312" w:eastAsia="仿宋_GB2312" w:cs="仿宋_GB2312"/>
          <w:sz w:val="32"/>
          <w:szCs w:val="32"/>
          <w:lang w:eastAsia="zh-CN"/>
        </w:rPr>
        <w:t>广州</w:t>
      </w:r>
      <w:r>
        <w:rPr>
          <w:rFonts w:hint="eastAsia" w:ascii="仿宋_GB2312" w:hAnsi="仿宋_GB2312" w:eastAsia="仿宋_GB2312" w:cs="仿宋_GB2312"/>
          <w:sz w:val="32"/>
          <w:szCs w:val="32"/>
        </w:rPr>
        <w:t>保护中心对备案申请材料进行初步审核，形成拟备案申请主体名录，并提交国家知识产权局；</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3.经国家知识产权局复核、确认后，形成备案名单；</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4.</w:t>
      </w:r>
      <w:r>
        <w:rPr>
          <w:rFonts w:hint="eastAsia" w:ascii="仿宋_GB2312" w:hAnsi="仿宋_GB2312" w:eastAsia="仿宋_GB2312" w:cs="仿宋_GB2312"/>
          <w:sz w:val="32"/>
          <w:szCs w:val="32"/>
          <w:lang w:eastAsia="zh-CN"/>
        </w:rPr>
        <w:t>广州</w:t>
      </w:r>
      <w:r>
        <w:rPr>
          <w:rFonts w:hint="eastAsia" w:ascii="仿宋_GB2312" w:hAnsi="仿宋_GB2312" w:eastAsia="仿宋_GB2312" w:cs="仿宋_GB2312"/>
          <w:sz w:val="32"/>
          <w:szCs w:val="32"/>
        </w:rPr>
        <w:t>保护中心将备案名单进行网上公示。</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w:t>
      </w:r>
      <w:r>
        <w:rPr>
          <w:rFonts w:hint="eastAsia" w:ascii="楷体" w:hAnsi="楷体" w:eastAsia="楷体" w:cs="楷体"/>
          <w:sz w:val="32"/>
          <w:szCs w:val="32"/>
        </w:rPr>
        <w:t>（二）注册代理机构</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1.符合条件的专利代理机构按照通知要求自愿申请，提交申请材料；</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2.</w:t>
      </w:r>
      <w:r>
        <w:rPr>
          <w:rFonts w:hint="eastAsia" w:ascii="仿宋_GB2312" w:hAnsi="仿宋_GB2312" w:eastAsia="仿宋_GB2312" w:cs="仿宋_GB2312"/>
          <w:sz w:val="32"/>
          <w:szCs w:val="32"/>
          <w:lang w:eastAsia="zh-CN"/>
        </w:rPr>
        <w:t>广州</w:t>
      </w:r>
      <w:r>
        <w:rPr>
          <w:rFonts w:hint="eastAsia" w:ascii="仿宋_GB2312" w:hAnsi="仿宋_GB2312" w:eastAsia="仿宋_GB2312" w:cs="仿宋_GB2312"/>
          <w:sz w:val="32"/>
          <w:szCs w:val="32"/>
        </w:rPr>
        <w:t>保护中心对注册申请材料进行审核，经审核合格的，备案通过；</w:t>
      </w:r>
    </w:p>
    <w:p>
      <w:pPr>
        <w:keepNext w:val="0"/>
        <w:keepLines w:val="0"/>
        <w:pageBreakBefore w:val="0"/>
        <w:widowControl w:val="0"/>
        <w:kinsoku/>
        <w:wordWrap/>
        <w:overflowPunct/>
        <w:topLinePunct w:val="0"/>
        <w:autoSpaceDE/>
        <w:autoSpaceDN/>
        <w:bidi w:val="0"/>
        <w:adjustRightInd/>
        <w:snapToGrid/>
        <w:spacing w:line="580" w:lineRule="exac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3.</w:t>
      </w:r>
      <w:r>
        <w:rPr>
          <w:rFonts w:hint="eastAsia" w:ascii="仿宋_GB2312" w:hAnsi="仿宋_GB2312" w:eastAsia="仿宋_GB2312" w:cs="仿宋_GB2312"/>
          <w:sz w:val="32"/>
          <w:szCs w:val="32"/>
          <w:lang w:eastAsia="zh-CN"/>
        </w:rPr>
        <w:t>广州</w:t>
      </w:r>
      <w:r>
        <w:rPr>
          <w:rFonts w:hint="eastAsia" w:ascii="仿宋_GB2312" w:hAnsi="仿宋_GB2312" w:eastAsia="仿宋_GB2312" w:cs="仿宋_GB2312"/>
          <w:sz w:val="32"/>
          <w:szCs w:val="32"/>
        </w:rPr>
        <w:t>保护中心将注册名单进行网上公示。</w:t>
      </w:r>
    </w:p>
    <w:p>
      <w:pPr>
        <w:keepNext w:val="0"/>
        <w:keepLines w:val="0"/>
        <w:pageBreakBefore w:val="0"/>
        <w:widowControl w:val="0"/>
        <w:kinsoku/>
        <w:wordWrap/>
        <w:overflowPunct/>
        <w:topLinePunct w:val="0"/>
        <w:autoSpaceDE/>
        <w:autoSpaceDN/>
        <w:bidi w:val="0"/>
        <w:adjustRightInd/>
        <w:snapToGrid/>
        <w:spacing w:line="580" w:lineRule="exact"/>
        <w:ind w:firstLine="640"/>
        <w:textAlignment w:val="auto"/>
        <w:rPr>
          <w:rFonts w:hint="eastAsia" w:ascii="黑体" w:hAnsi="黑体" w:eastAsia="黑体" w:cs="黑体"/>
          <w:sz w:val="32"/>
          <w:szCs w:val="32"/>
          <w:lang w:val="en-US" w:eastAsia="zh-CN"/>
        </w:rPr>
      </w:pPr>
      <w:r>
        <w:rPr>
          <w:rFonts w:hint="eastAsia" w:ascii="黑体" w:hAnsi="黑体" w:eastAsia="黑体" w:cs="黑体"/>
          <w:sz w:val="32"/>
          <w:szCs w:val="32"/>
        </w:rPr>
        <w:t>六、</w:t>
      </w:r>
      <w:r>
        <w:rPr>
          <w:rFonts w:hint="eastAsia" w:ascii="黑体" w:hAnsi="黑体" w:eastAsia="黑体" w:cs="黑体"/>
          <w:sz w:val="32"/>
          <w:szCs w:val="32"/>
          <w:lang w:val="en-US" w:eastAsia="zh-CN"/>
        </w:rPr>
        <w:t>备案培训</w:t>
      </w:r>
    </w:p>
    <w:p>
      <w:pPr>
        <w:keepNext w:val="0"/>
        <w:keepLines w:val="0"/>
        <w:pageBreakBefore w:val="0"/>
        <w:widowControl w:val="0"/>
        <w:kinsoku/>
        <w:wordWrap/>
        <w:overflowPunct/>
        <w:topLinePunct w:val="0"/>
        <w:autoSpaceDE/>
        <w:autoSpaceDN/>
        <w:bidi w:val="0"/>
        <w:adjustRightInd/>
        <w:snapToGrid/>
        <w:spacing w:line="580" w:lineRule="exact"/>
        <w:ind w:firstLine="640"/>
        <w:textAlignment w:val="auto"/>
        <w:rPr>
          <w:rFonts w:hint="default" w:ascii="黑体" w:hAnsi="黑体" w:eastAsia="仿宋_GB2312" w:cs="黑体"/>
          <w:sz w:val="32"/>
          <w:szCs w:val="32"/>
          <w:lang w:val="en-US" w:eastAsia="zh-CN"/>
        </w:rPr>
      </w:pPr>
      <w:r>
        <w:rPr>
          <w:rFonts w:hint="eastAsia" w:ascii="仿宋_GB2312" w:hAnsi="仿宋_GB2312" w:eastAsia="仿宋_GB2312" w:cs="仿宋_GB2312"/>
          <w:sz w:val="32"/>
          <w:szCs w:val="32"/>
          <w:lang w:val="en-US" w:eastAsia="zh-CN"/>
        </w:rPr>
        <w:t>我中心拟于2021年5月底举办“广州知识产权保护中心专利</w:t>
      </w:r>
      <w:r>
        <w:rPr>
          <w:rFonts w:hint="eastAsia" w:ascii="仿宋_GB2312" w:hAnsi="仿宋_GB2312" w:eastAsia="仿宋_GB2312" w:cs="仿宋_GB2312"/>
          <w:sz w:val="32"/>
          <w:szCs w:val="32"/>
        </w:rPr>
        <w:t>快速预审</w:t>
      </w:r>
      <w:r>
        <w:rPr>
          <w:rFonts w:hint="eastAsia" w:ascii="仿宋_GB2312" w:hAnsi="仿宋_GB2312" w:eastAsia="仿宋_GB2312" w:cs="仿宋_GB2312"/>
          <w:sz w:val="32"/>
          <w:szCs w:val="32"/>
          <w:lang w:val="en-US" w:eastAsia="zh-CN"/>
        </w:rPr>
        <w:t>业务宣讲培训”，具体培训时间、地点另行通知，请及时关注。</w:t>
      </w:r>
    </w:p>
    <w:p>
      <w:pPr>
        <w:keepNext w:val="0"/>
        <w:keepLines w:val="0"/>
        <w:pageBreakBefore w:val="0"/>
        <w:widowControl w:val="0"/>
        <w:kinsoku/>
        <w:wordWrap/>
        <w:overflowPunct/>
        <w:topLinePunct w:val="0"/>
        <w:autoSpaceDE/>
        <w:autoSpaceDN/>
        <w:bidi w:val="0"/>
        <w:adjustRightInd/>
        <w:snapToGrid/>
        <w:spacing w:line="580" w:lineRule="exact"/>
        <w:ind w:firstLine="640"/>
        <w:textAlignment w:val="auto"/>
        <w:rPr>
          <w:rFonts w:hint="eastAsia" w:ascii="黑体" w:hAnsi="黑体" w:eastAsia="黑体" w:cs="黑体"/>
          <w:sz w:val="32"/>
          <w:szCs w:val="32"/>
        </w:rPr>
      </w:pPr>
      <w:r>
        <w:rPr>
          <w:rFonts w:hint="eastAsia" w:ascii="黑体" w:hAnsi="黑体" w:eastAsia="黑体" w:cs="黑体"/>
          <w:sz w:val="32"/>
          <w:szCs w:val="32"/>
          <w:lang w:val="en-US" w:eastAsia="zh-CN"/>
        </w:rPr>
        <w:t>七、</w:t>
      </w:r>
      <w:r>
        <w:rPr>
          <w:rFonts w:hint="eastAsia" w:ascii="黑体" w:hAnsi="黑体" w:eastAsia="黑体" w:cs="黑体"/>
          <w:sz w:val="32"/>
          <w:szCs w:val="32"/>
        </w:rPr>
        <w:t>联系方式</w:t>
      </w:r>
    </w:p>
    <w:p>
      <w:pPr>
        <w:keepNext w:val="0"/>
        <w:keepLines w:val="0"/>
        <w:pageBreakBefore w:val="0"/>
        <w:widowControl w:val="0"/>
        <w:kinsoku/>
        <w:wordWrap/>
        <w:overflowPunct/>
        <w:topLinePunct w:val="0"/>
        <w:autoSpaceDE/>
        <w:autoSpaceDN/>
        <w:bidi w:val="0"/>
        <w:adjustRightInd/>
        <w:snapToGrid/>
        <w:spacing w:line="580" w:lineRule="exact"/>
        <w:ind w:firstLine="640"/>
        <w:textAlignment w:val="auto"/>
        <w:rPr>
          <w:rFonts w:hint="default" w:ascii="仿宋_GB2312" w:hAnsi="仿宋_GB2312" w:eastAsia="仿宋_GB2312" w:cs="仿宋_GB2312"/>
          <w:sz w:val="32"/>
          <w:szCs w:val="32"/>
          <w:lang w:val="en-US"/>
        </w:rPr>
      </w:pPr>
      <w:r>
        <w:rPr>
          <w:rFonts w:hint="eastAsia" w:ascii="仿宋_GB2312" w:hAnsi="仿宋_GB2312" w:eastAsia="仿宋_GB2312" w:cs="仿宋_GB2312"/>
          <w:sz w:val="32"/>
          <w:szCs w:val="32"/>
        </w:rPr>
        <w:t>联</w:t>
      </w: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sz w:val="32"/>
          <w:szCs w:val="32"/>
        </w:rPr>
        <w:t>系</w:t>
      </w: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sz w:val="32"/>
          <w:szCs w:val="32"/>
        </w:rPr>
        <w:t>人：</w:t>
      </w:r>
      <w:r>
        <w:rPr>
          <w:rFonts w:hint="eastAsia" w:ascii="仿宋_GB2312" w:hAnsi="仿宋_GB2312" w:eastAsia="仿宋_GB2312" w:cs="仿宋_GB2312"/>
          <w:sz w:val="32"/>
          <w:szCs w:val="32"/>
          <w:lang w:val="en-US" w:eastAsia="zh-CN"/>
        </w:rPr>
        <w:t>宋婷，钱召龙</w:t>
      </w:r>
    </w:p>
    <w:p>
      <w:pPr>
        <w:keepNext w:val="0"/>
        <w:keepLines w:val="0"/>
        <w:pageBreakBefore w:val="0"/>
        <w:widowControl w:val="0"/>
        <w:kinsoku/>
        <w:wordWrap/>
        <w:overflowPunct/>
        <w:topLinePunct w:val="0"/>
        <w:autoSpaceDE/>
        <w:autoSpaceDN/>
        <w:bidi w:val="0"/>
        <w:adjustRightInd/>
        <w:snapToGrid/>
        <w:spacing w:line="580" w:lineRule="exact"/>
        <w:ind w:firstLine="64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联系</w:t>
      </w:r>
      <w:r>
        <w:rPr>
          <w:rFonts w:hint="eastAsia" w:ascii="仿宋_GB2312" w:hAnsi="仿宋_GB2312" w:eastAsia="仿宋_GB2312" w:cs="仿宋_GB2312"/>
          <w:sz w:val="32"/>
          <w:szCs w:val="32"/>
        </w:rPr>
        <w:t>电话：</w:t>
      </w:r>
      <w:r>
        <w:rPr>
          <w:rFonts w:hint="eastAsia" w:ascii="仿宋_GB2312" w:hAnsi="仿宋_GB2312" w:eastAsia="仿宋_GB2312" w:cs="仿宋_GB2312"/>
          <w:sz w:val="32"/>
          <w:szCs w:val="32"/>
          <w:lang w:val="en-US" w:eastAsia="zh-CN"/>
        </w:rPr>
        <w:t>020</w:t>
      </w: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val="en-US" w:eastAsia="zh-CN"/>
        </w:rPr>
        <w:t>38332009，020-38288055</w:t>
      </w:r>
    </w:p>
    <w:p>
      <w:pPr>
        <w:keepNext w:val="0"/>
        <w:keepLines w:val="0"/>
        <w:pageBreakBefore w:val="0"/>
        <w:widowControl w:val="0"/>
        <w:kinsoku/>
        <w:wordWrap/>
        <w:overflowPunct/>
        <w:topLinePunct w:val="0"/>
        <w:autoSpaceDE/>
        <w:autoSpaceDN/>
        <w:bidi w:val="0"/>
        <w:adjustRightInd/>
        <w:snapToGrid/>
        <w:spacing w:line="580" w:lineRule="exact"/>
        <w:ind w:firstLine="640"/>
        <w:textAlignment w:val="auto"/>
        <w:rPr>
          <w:rFonts w:hint="eastAsia" w:ascii="仿宋_GB2312" w:hAnsi="仿宋_GB2312" w:eastAsia="仿宋_GB2312" w:cs="仿宋_GB2312"/>
          <w:sz w:val="32"/>
          <w:szCs w:val="32"/>
        </w:rPr>
      </w:pPr>
    </w:p>
    <w:p>
      <w:pPr>
        <w:keepNext w:val="0"/>
        <w:keepLines w:val="0"/>
        <w:pageBreakBefore w:val="0"/>
        <w:widowControl w:val="0"/>
        <w:kinsoku/>
        <w:wordWrap/>
        <w:overflowPunct/>
        <w:topLinePunct w:val="0"/>
        <w:autoSpaceDE/>
        <w:autoSpaceDN/>
        <w:bidi w:val="0"/>
        <w:adjustRightInd/>
        <w:snapToGrid/>
        <w:spacing w:line="580" w:lineRule="exact"/>
        <w:ind w:firstLine="64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附件:1.中国（</w:t>
      </w:r>
      <w:r>
        <w:rPr>
          <w:rFonts w:hint="eastAsia" w:ascii="仿宋_GB2312" w:hAnsi="仿宋_GB2312" w:eastAsia="仿宋_GB2312" w:cs="仿宋_GB2312"/>
          <w:sz w:val="32"/>
          <w:szCs w:val="32"/>
          <w:lang w:eastAsia="zh-CN"/>
        </w:rPr>
        <w:t>广州</w:t>
      </w:r>
      <w:r>
        <w:rPr>
          <w:rFonts w:hint="eastAsia" w:ascii="仿宋_GB2312" w:hAnsi="仿宋_GB2312" w:eastAsia="仿宋_GB2312" w:cs="仿宋_GB2312"/>
          <w:sz w:val="32"/>
          <w:szCs w:val="32"/>
        </w:rPr>
        <w:t>）知识产权保护中心快速预审服务备案</w:t>
      </w:r>
    </w:p>
    <w:p>
      <w:pPr>
        <w:keepNext w:val="0"/>
        <w:keepLines w:val="0"/>
        <w:pageBreakBefore w:val="0"/>
        <w:widowControl w:val="0"/>
        <w:kinsoku/>
        <w:wordWrap/>
        <w:overflowPunct/>
        <w:topLinePunct w:val="0"/>
        <w:autoSpaceDE/>
        <w:autoSpaceDN/>
        <w:bidi w:val="0"/>
        <w:adjustRightInd/>
        <w:snapToGrid/>
        <w:spacing w:line="580" w:lineRule="exact"/>
        <w:ind w:firstLine="1600" w:firstLineChars="5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主体申请表</w:t>
      </w:r>
    </w:p>
    <w:p>
      <w:pPr>
        <w:keepNext w:val="0"/>
        <w:keepLines w:val="0"/>
        <w:pageBreakBefore w:val="0"/>
        <w:widowControl w:val="0"/>
        <w:kinsoku/>
        <w:wordWrap/>
        <w:overflowPunct/>
        <w:topLinePunct w:val="0"/>
        <w:autoSpaceDE/>
        <w:autoSpaceDN/>
        <w:bidi w:val="0"/>
        <w:adjustRightInd/>
        <w:snapToGrid/>
        <w:spacing w:line="580" w:lineRule="exact"/>
        <w:ind w:left="1600" w:hanging="1600" w:hangingChars="5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w:t>
      </w: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sz w:val="32"/>
          <w:szCs w:val="32"/>
        </w:rPr>
        <w:t>2.中国（</w:t>
      </w:r>
      <w:r>
        <w:rPr>
          <w:rFonts w:hint="eastAsia" w:ascii="仿宋_GB2312" w:hAnsi="仿宋_GB2312" w:eastAsia="仿宋_GB2312" w:cs="仿宋_GB2312"/>
          <w:sz w:val="32"/>
          <w:szCs w:val="32"/>
          <w:lang w:eastAsia="zh-CN"/>
        </w:rPr>
        <w:t>广州</w:t>
      </w:r>
      <w:r>
        <w:rPr>
          <w:rFonts w:hint="eastAsia" w:ascii="仿宋_GB2312" w:hAnsi="仿宋_GB2312" w:eastAsia="仿宋_GB2312" w:cs="仿宋_GB2312"/>
          <w:sz w:val="32"/>
          <w:szCs w:val="32"/>
        </w:rPr>
        <w:t>）知识产权保护中心专利申请须知（试行）</w:t>
      </w:r>
    </w:p>
    <w:p>
      <w:pPr>
        <w:keepNext w:val="0"/>
        <w:keepLines w:val="0"/>
        <w:pageBreakBefore w:val="0"/>
        <w:widowControl w:val="0"/>
        <w:kinsoku/>
        <w:wordWrap/>
        <w:overflowPunct/>
        <w:topLinePunct w:val="0"/>
        <w:autoSpaceDE/>
        <w:autoSpaceDN/>
        <w:bidi w:val="0"/>
        <w:adjustRightInd/>
        <w:snapToGrid/>
        <w:spacing w:line="580" w:lineRule="exact"/>
        <w:ind w:left="1600" w:hanging="1600" w:hangingChars="5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w:t>
      </w: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sz w:val="32"/>
          <w:szCs w:val="32"/>
        </w:rPr>
        <w:t>3.中国（</w:t>
      </w:r>
      <w:r>
        <w:rPr>
          <w:rFonts w:hint="eastAsia" w:ascii="仿宋_GB2312" w:hAnsi="仿宋_GB2312" w:eastAsia="仿宋_GB2312" w:cs="仿宋_GB2312"/>
          <w:sz w:val="32"/>
          <w:szCs w:val="32"/>
          <w:lang w:eastAsia="zh-CN"/>
        </w:rPr>
        <w:t>广州</w:t>
      </w:r>
      <w:r>
        <w:rPr>
          <w:rFonts w:hint="eastAsia" w:ascii="仿宋_GB2312" w:hAnsi="仿宋_GB2312" w:eastAsia="仿宋_GB2312" w:cs="仿宋_GB2312"/>
          <w:sz w:val="32"/>
          <w:szCs w:val="32"/>
        </w:rPr>
        <w:t>）知识产权保护中心专利申请快速预审服务承诺书（试行）</w:t>
      </w:r>
    </w:p>
    <w:p>
      <w:pPr>
        <w:keepNext w:val="0"/>
        <w:keepLines w:val="0"/>
        <w:pageBreakBefore w:val="0"/>
        <w:widowControl w:val="0"/>
        <w:kinsoku/>
        <w:wordWrap/>
        <w:overflowPunct/>
        <w:topLinePunct w:val="0"/>
        <w:autoSpaceDE/>
        <w:autoSpaceDN/>
        <w:bidi w:val="0"/>
        <w:adjustRightInd/>
        <w:snapToGrid/>
        <w:spacing w:line="580" w:lineRule="exact"/>
        <w:ind w:left="1600" w:hanging="1600" w:hangingChars="500"/>
        <w:textAlignment w:val="auto"/>
        <w:rPr>
          <w:rFonts w:hint="eastAsia" w:ascii="仿宋_GB2312" w:hAnsi="仿宋_GB2312" w:eastAsia="仿宋_GB2312" w:cs="仿宋_GB2312"/>
          <w:sz w:val="32"/>
          <w:szCs w:val="32"/>
        </w:rPr>
      </w:pPr>
    </w:p>
    <w:p>
      <w:pPr>
        <w:keepNext w:val="0"/>
        <w:keepLines w:val="0"/>
        <w:pageBreakBefore w:val="0"/>
        <w:widowControl w:val="0"/>
        <w:kinsoku/>
        <w:wordWrap/>
        <w:overflowPunct/>
        <w:topLinePunct w:val="0"/>
        <w:autoSpaceDE/>
        <w:autoSpaceDN/>
        <w:bidi w:val="0"/>
        <w:adjustRightInd/>
        <w:snapToGrid/>
        <w:spacing w:line="580" w:lineRule="exact"/>
        <w:ind w:left="1600" w:hanging="1600" w:hangingChars="500"/>
        <w:textAlignment w:val="auto"/>
        <w:rPr>
          <w:rFonts w:hint="eastAsia" w:ascii="仿宋_GB2312" w:hAnsi="仿宋_GB2312" w:eastAsia="仿宋_GB2312" w:cs="仿宋_GB2312"/>
          <w:sz w:val="32"/>
          <w:szCs w:val="32"/>
        </w:rPr>
      </w:pPr>
    </w:p>
    <w:p>
      <w:pPr>
        <w:keepNext w:val="0"/>
        <w:keepLines w:val="0"/>
        <w:pageBreakBefore w:val="0"/>
        <w:widowControl w:val="0"/>
        <w:kinsoku/>
        <w:wordWrap/>
        <w:overflowPunct/>
        <w:topLinePunct w:val="0"/>
        <w:autoSpaceDE/>
        <w:autoSpaceDN/>
        <w:bidi w:val="0"/>
        <w:adjustRightInd/>
        <w:snapToGrid/>
        <w:spacing w:line="580" w:lineRule="exact"/>
        <w:ind w:left="1600" w:hanging="1600" w:hangingChars="500"/>
        <w:textAlignment w:val="auto"/>
        <w:rPr>
          <w:rFonts w:hint="eastAsia" w:ascii="仿宋_GB2312" w:hAnsi="仿宋_GB2312" w:eastAsia="仿宋_GB2312" w:cs="仿宋_GB2312"/>
          <w:sz w:val="32"/>
          <w:szCs w:val="32"/>
        </w:rPr>
      </w:pPr>
    </w:p>
    <w:p>
      <w:pPr>
        <w:keepNext w:val="0"/>
        <w:keepLines w:val="0"/>
        <w:pageBreakBefore w:val="0"/>
        <w:widowControl w:val="0"/>
        <w:kinsoku/>
        <w:wordWrap/>
        <w:overflowPunct/>
        <w:topLinePunct w:val="0"/>
        <w:autoSpaceDE/>
        <w:autoSpaceDN/>
        <w:bidi w:val="0"/>
        <w:adjustRightInd/>
        <w:snapToGrid/>
        <w:spacing w:line="580" w:lineRule="exact"/>
        <w:ind w:left="1600" w:hanging="1600" w:hangingChars="5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 xml:space="preserve">                            广州知识产权保护中心</w:t>
      </w:r>
    </w:p>
    <w:p>
      <w:pPr>
        <w:keepNext w:val="0"/>
        <w:keepLines w:val="0"/>
        <w:pageBreakBefore w:val="0"/>
        <w:widowControl w:val="0"/>
        <w:kinsoku/>
        <w:wordWrap/>
        <w:overflowPunct/>
        <w:topLinePunct w:val="0"/>
        <w:autoSpaceDE/>
        <w:autoSpaceDN/>
        <w:bidi w:val="0"/>
        <w:adjustRightInd/>
        <w:snapToGrid/>
        <w:spacing w:line="580" w:lineRule="exact"/>
        <w:ind w:left="1600" w:hanging="1600" w:hangingChars="5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 xml:space="preserve">                              2021年5月</w:t>
      </w:r>
      <w:bookmarkStart w:id="0" w:name="_GoBack"/>
      <w:bookmarkEnd w:id="0"/>
      <w:r>
        <w:rPr>
          <w:rFonts w:hint="eastAsia" w:ascii="仿宋_GB2312" w:hAnsi="仿宋_GB2312" w:eastAsia="仿宋_GB2312" w:cs="仿宋_GB2312"/>
          <w:sz w:val="32"/>
          <w:szCs w:val="32"/>
          <w:lang w:val="en-US" w:eastAsia="zh-CN"/>
        </w:rPr>
        <w:t>14日</w:t>
      </w:r>
    </w:p>
    <w:sectPr>
      <w:footerReference r:id="rId3" w:type="default"/>
      <w:pgSz w:w="11906" w:h="16838"/>
      <w:pgMar w:top="2098" w:right="1474" w:bottom="1587" w:left="1587"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99F84B86-9AD0-4D89-8DD9-F688140547F2}"/>
  </w:font>
  <w:font w:name="Arial">
    <w:panose1 w:val="020B0604020202020204"/>
    <w:charset w:val="01"/>
    <w:family w:val="swiss"/>
    <w:pitch w:val="default"/>
    <w:sig w:usb0="E0002EFF" w:usb1="C000785B" w:usb2="00000009" w:usb3="00000000" w:csb0="400001FF" w:csb1="FFFF0000"/>
    <w:embedRegular r:id="rId2" w:fontKey="{5271AD8C-C2D6-450F-886C-24358ACC5318}"/>
  </w:font>
  <w:font w:name="黑体">
    <w:panose1 w:val="02010609060101010101"/>
    <w:charset w:val="86"/>
    <w:family w:val="auto"/>
    <w:pitch w:val="default"/>
    <w:sig w:usb0="800002BF" w:usb1="38CF7CFA" w:usb2="00000016" w:usb3="00000000" w:csb0="00040001" w:csb1="00000000"/>
    <w:embedRegular r:id="rId3" w:fontKey="{FB9BE022-082A-4D77-9F2C-565D6D9DBD3D}"/>
  </w:font>
  <w:font w:name="Courier New">
    <w:panose1 w:val="02070309020205020404"/>
    <w:charset w:val="01"/>
    <w:family w:val="modern"/>
    <w:pitch w:val="default"/>
    <w:sig w:usb0="E0002EFF" w:usb1="C0007843" w:usb2="00000009" w:usb3="00000000" w:csb0="400001FF" w:csb1="FFFF0000"/>
    <w:embedRegular r:id="rId4" w:fontKey="{DABD7C91-61DA-483C-81C9-80817B6D4F44}"/>
  </w:font>
  <w:font w:name="Symbol">
    <w:panose1 w:val="05050102010706020507"/>
    <w:charset w:val="02"/>
    <w:family w:val="roman"/>
    <w:pitch w:val="default"/>
    <w:sig w:usb0="00000000" w:usb1="00000000" w:usb2="00000000" w:usb3="00000000" w:csb0="80000000" w:csb1="00000000"/>
    <w:embedRegular r:id="rId5" w:fontKey="{FC98AAC5-575B-4E19-BC72-2B160490901E}"/>
  </w:font>
  <w:font w:name="Calibri">
    <w:panose1 w:val="020F0502020204030204"/>
    <w:charset w:val="00"/>
    <w:family w:val="swiss"/>
    <w:pitch w:val="default"/>
    <w:sig w:usb0="E4002EFF" w:usb1="C000247B" w:usb2="00000009" w:usb3="00000000" w:csb0="200001FF" w:csb1="00000000"/>
    <w:embedRegular r:id="rId6" w:fontKey="{96C79413-9398-486C-8C80-2CF4F362F763}"/>
  </w:font>
  <w:font w:name="方正小标宋_GBK">
    <w:panose1 w:val="03000509000000000000"/>
    <w:charset w:val="86"/>
    <w:family w:val="auto"/>
    <w:pitch w:val="default"/>
    <w:sig w:usb0="00000001" w:usb1="080E0000" w:usb2="00000000" w:usb3="00000000" w:csb0="00040000" w:csb1="00000000"/>
    <w:embedRegular r:id="rId7" w:fontKey="{150A5D9F-4DAB-44F1-9ECC-CC475542B6A0}"/>
  </w:font>
  <w:font w:name="仿宋_GB2312">
    <w:panose1 w:val="02010609030101010101"/>
    <w:charset w:val="86"/>
    <w:family w:val="auto"/>
    <w:pitch w:val="default"/>
    <w:sig w:usb0="00000001" w:usb1="080E0000" w:usb2="00000000" w:usb3="00000000" w:csb0="00040000" w:csb1="00000000"/>
    <w:embedRegular r:id="rId8" w:fontKey="{394A1239-70A7-4832-8767-C030D7BFA335}"/>
  </w:font>
  <w:font w:name="仿宋">
    <w:panose1 w:val="02010609060101010101"/>
    <w:charset w:val="86"/>
    <w:family w:val="modern"/>
    <w:pitch w:val="default"/>
    <w:sig w:usb0="800002BF" w:usb1="38CF7CFA" w:usb2="00000016" w:usb3="00000000" w:csb0="00040001" w:csb1="00000000"/>
    <w:embedRegular r:id="rId9" w:fontKey="{D6ED614B-4A6A-4C93-B706-808DDA6DD575}"/>
  </w:font>
  <w:font w:name="楷体">
    <w:panose1 w:val="02010609060101010101"/>
    <w:charset w:val="86"/>
    <w:family w:val="auto"/>
    <w:pitch w:val="default"/>
    <w:sig w:usb0="800002BF" w:usb1="38CF7CFA" w:usb2="00000016" w:usb3="00000000" w:csb0="00040001" w:csb1="00000000"/>
    <w:embedRegular r:id="rId10" w:fontKey="{C43AE21F-813F-4BCE-9D80-41610DBC6569}"/>
  </w:font>
  <w:font w:name="方正小标宋简体">
    <w:panose1 w:val="02010601030101010101"/>
    <w:charset w:val="86"/>
    <w:family w:val="auto"/>
    <w:pitch w:val="default"/>
    <w:sig w:usb0="00000001" w:usb1="080E0000" w:usb2="00000000" w:usb3="00000000" w:csb0="00040000" w:csb1="00000000"/>
    <w:embedRegular r:id="rId11" w:fontKey="{40E8FDA6-344A-40C5-8A20-379436F504C3}"/>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pPr>
                          <w:r>
                            <w:t xml:space="preserve">— </w:t>
                          </w:r>
                          <w:r>
                            <w:rPr>
                              <w:rFonts w:hint="eastAsia"/>
                              <w:lang w:val="en-US" w:eastAsia="zh-CN"/>
                            </w:rPr>
                            <w:t xml:space="preserve"> </w:t>
                          </w: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hint="eastAsia" w:ascii="宋体" w:hAnsi="宋体" w:eastAsia="宋体" w:cs="宋体"/>
                              <w:sz w:val="28"/>
                              <w:szCs w:val="28"/>
                            </w:rPr>
                            <w:t>1</w:t>
                          </w:r>
                          <w:r>
                            <w:rPr>
                              <w:rFonts w:hint="eastAsia" w:ascii="宋体" w:hAnsi="宋体" w:eastAsia="宋体" w:cs="宋体"/>
                              <w:sz w:val="28"/>
                              <w:szCs w:val="28"/>
                            </w:rPr>
                            <w:fldChar w:fldCharType="end"/>
                          </w:r>
                          <w:r>
                            <w:rPr>
                              <w:rFonts w:hint="eastAsia" w:ascii="宋体" w:hAnsi="宋体" w:eastAsia="宋体" w:cs="宋体"/>
                              <w:sz w:val="28"/>
                              <w:szCs w:val="28"/>
                            </w:rPr>
                            <w:t xml:space="preserve"> </w:t>
                          </w:r>
                          <w:r>
                            <w:t>—</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pPr>
                      <w:pStyle w:val="3"/>
                    </w:pPr>
                    <w:r>
                      <w:t xml:space="preserve">— </w:t>
                    </w:r>
                    <w:r>
                      <w:rPr>
                        <w:rFonts w:hint="eastAsia"/>
                        <w:lang w:val="en-US" w:eastAsia="zh-CN"/>
                      </w:rPr>
                      <w:t xml:space="preserve"> </w:t>
                    </w: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hint="eastAsia" w:ascii="宋体" w:hAnsi="宋体" w:eastAsia="宋体" w:cs="宋体"/>
                        <w:sz w:val="28"/>
                        <w:szCs w:val="28"/>
                      </w:rPr>
                      <w:t>1</w:t>
                    </w:r>
                    <w:r>
                      <w:rPr>
                        <w:rFonts w:hint="eastAsia" w:ascii="宋体" w:hAnsi="宋体" w:eastAsia="宋体" w:cs="宋体"/>
                        <w:sz w:val="28"/>
                        <w:szCs w:val="28"/>
                      </w:rPr>
                      <w:fldChar w:fldCharType="end"/>
                    </w:r>
                    <w:r>
                      <w:rPr>
                        <w:rFonts w:hint="eastAsia" w:ascii="宋体" w:hAnsi="宋体" w:eastAsia="宋体" w:cs="宋体"/>
                        <w:sz w:val="28"/>
                        <w:szCs w:val="28"/>
                      </w:rPr>
                      <w:t xml:space="preserve"> </w:t>
                    </w:r>
                    <w:r>
                      <w:t>—</w:t>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2170C3A"/>
    <w:rsid w:val="02485E70"/>
    <w:rsid w:val="031D62D0"/>
    <w:rsid w:val="03666382"/>
    <w:rsid w:val="03EB46AA"/>
    <w:rsid w:val="040B0D7E"/>
    <w:rsid w:val="0564699A"/>
    <w:rsid w:val="0F21542B"/>
    <w:rsid w:val="107B6B04"/>
    <w:rsid w:val="13044699"/>
    <w:rsid w:val="161A6CC2"/>
    <w:rsid w:val="16CD12F5"/>
    <w:rsid w:val="1C0B7722"/>
    <w:rsid w:val="225F60B0"/>
    <w:rsid w:val="249A0ED5"/>
    <w:rsid w:val="28E23FFC"/>
    <w:rsid w:val="2C770E3D"/>
    <w:rsid w:val="2CDF11F8"/>
    <w:rsid w:val="2DDA72D4"/>
    <w:rsid w:val="2ECF6161"/>
    <w:rsid w:val="30A3767C"/>
    <w:rsid w:val="367E5710"/>
    <w:rsid w:val="38B50974"/>
    <w:rsid w:val="498A522E"/>
    <w:rsid w:val="4C4D344C"/>
    <w:rsid w:val="538E09E2"/>
    <w:rsid w:val="5A087C0A"/>
    <w:rsid w:val="5C6F34E1"/>
    <w:rsid w:val="5DEE5AB2"/>
    <w:rsid w:val="61440E53"/>
    <w:rsid w:val="630652C3"/>
    <w:rsid w:val="6C652F77"/>
    <w:rsid w:val="76536E64"/>
    <w:rsid w:val="7AC21AA8"/>
    <w:rsid w:val="7B0617A7"/>
    <w:rsid w:val="7C5A561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character" w:default="1" w:styleId="7">
    <w:name w:val="Default Paragraph Font"/>
    <w:semiHidden/>
    <w:qFormat/>
    <w:uiPriority w:val="0"/>
  </w:style>
  <w:style w:type="table" w:default="1" w:styleId="6">
    <w:name w:val="Normal Table"/>
    <w:semiHidden/>
    <w:qFormat/>
    <w:uiPriority w:val="0"/>
    <w:tblPr>
      <w:tblCellMar>
        <w:top w:w="0" w:type="dxa"/>
        <w:left w:w="108" w:type="dxa"/>
        <w:bottom w:w="0" w:type="dxa"/>
        <w:right w:w="108" w:type="dxa"/>
      </w:tblCellMar>
    </w:tbl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5">
    <w:name w:val="Normal (Web)"/>
    <w:basedOn w:val="1"/>
    <w:qFormat/>
    <w:uiPriority w:val="0"/>
    <w:pPr>
      <w:spacing w:before="0" w:beforeAutospacing="1" w:after="0" w:afterAutospacing="1"/>
      <w:ind w:left="0" w:right="0"/>
      <w:jc w:val="left"/>
    </w:pPr>
    <w:rPr>
      <w:kern w:val="0"/>
      <w:sz w:val="24"/>
      <w:lang w:val="en-US" w:eastAsia="zh-CN" w:bidi="ar"/>
    </w:rPr>
  </w:style>
  <w:style w:type="character" w:styleId="8">
    <w:name w:val="Hyperlink"/>
    <w:basedOn w:val="7"/>
    <w:qFormat/>
    <w:uiPriority w:val="0"/>
    <w:rPr>
      <w:color w:val="0000FF"/>
      <w:u w:val="single"/>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2</TotalTime>
  <ScaleCrop>false</ScaleCrop>
  <LinksUpToDate>false</LinksUpToDate>
  <CharactersWithSpaces>0</CharactersWithSpaces>
  <Application>WPS Office_11.1.0.10495_F1E327BC-269C-435d-A152-05C5408002CA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2021-04-21T09:53:00Z</dcterms:created>
  <dc:creator>Administrator</dc:creator>
  <cp:lastModifiedBy>匿名用户</cp:lastModifiedBy>
  <dcterms:modified xsi:type="dcterms:W3CDTF">2021-05-14T02:31:05Z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ICV">
    <vt:lpwstr>9F0AE1BA28A7474F92F04020B41FC5A5</vt:lpwstr>
  </property>
  <property fmtid="{D5CDD505-2E9C-101B-9397-08002B2CF9AE}" pid="4" name="KSOSaveFontToCloudKey">
    <vt:lpwstr>539219710_embed</vt:lpwstr>
  </property>
</Properties>
</file>